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8"/>
          <w:szCs w:val="48"/>
          <w:lang w:eastAsia="zh-CN"/>
        </w:rPr>
      </w:pPr>
      <w:r>
        <w:rPr>
          <w:rFonts w:hint="eastAsia" w:ascii="黑体" w:hAnsi="黑体" w:eastAsia="黑体"/>
          <w:sz w:val="48"/>
          <w:szCs w:val="48"/>
        </w:rPr>
        <w:t>汉源县城市智慧停车场及智慧充电桩项目一期汉源县城人民银行大型综合楼停车楼建设项目防火涂料</w:t>
      </w:r>
      <w:r>
        <w:rPr>
          <w:rFonts w:hint="eastAsia" w:ascii="黑体" w:hAnsi="黑体" w:eastAsia="黑体"/>
          <w:sz w:val="48"/>
          <w:szCs w:val="48"/>
          <w:lang w:eastAsia="zh-CN"/>
        </w:rPr>
        <w:t>专业分包竞价采购需求表</w:t>
      </w:r>
    </w:p>
    <w:p>
      <w:pPr>
        <w:jc w:val="left"/>
        <w:rPr>
          <w:rFonts w:hint="eastAsia"/>
          <w:sz w:val="28"/>
          <w:szCs w:val="28"/>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972"/>
        <w:gridCol w:w="1899"/>
        <w:gridCol w:w="1107"/>
        <w:gridCol w:w="1214"/>
        <w:gridCol w:w="2839"/>
        <w:gridCol w:w="2226"/>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43" w:type="dxa"/>
            <w:vAlign w:val="center"/>
          </w:tcPr>
          <w:p>
            <w:pPr>
              <w:jc w:val="center"/>
              <w:rPr>
                <w:sz w:val="25"/>
              </w:rPr>
            </w:pPr>
            <w:r>
              <w:rPr>
                <w:rFonts w:hint="eastAsia"/>
                <w:sz w:val="25"/>
              </w:rPr>
              <w:t>序号</w:t>
            </w:r>
          </w:p>
        </w:tc>
        <w:tc>
          <w:tcPr>
            <w:tcW w:w="1972" w:type="dxa"/>
            <w:vAlign w:val="center"/>
          </w:tcPr>
          <w:p>
            <w:pPr>
              <w:jc w:val="center"/>
              <w:rPr>
                <w:sz w:val="25"/>
              </w:rPr>
            </w:pPr>
            <w:r>
              <w:rPr>
                <w:rFonts w:hint="eastAsia"/>
                <w:sz w:val="25"/>
              </w:rPr>
              <w:t>造型</w:t>
            </w:r>
          </w:p>
        </w:tc>
        <w:tc>
          <w:tcPr>
            <w:tcW w:w="1899" w:type="dxa"/>
            <w:vAlign w:val="center"/>
          </w:tcPr>
          <w:p>
            <w:pPr>
              <w:jc w:val="center"/>
              <w:rPr>
                <w:sz w:val="25"/>
              </w:rPr>
            </w:pPr>
            <w:r>
              <w:rPr>
                <w:rFonts w:hint="eastAsia"/>
                <w:sz w:val="25"/>
              </w:rPr>
              <w:t>部位</w:t>
            </w:r>
          </w:p>
        </w:tc>
        <w:tc>
          <w:tcPr>
            <w:tcW w:w="1107" w:type="dxa"/>
            <w:vAlign w:val="center"/>
          </w:tcPr>
          <w:p>
            <w:pPr>
              <w:jc w:val="center"/>
              <w:rPr>
                <w:sz w:val="25"/>
              </w:rPr>
            </w:pPr>
            <w:r>
              <w:rPr>
                <w:rFonts w:hint="eastAsia"/>
                <w:sz w:val="25"/>
              </w:rPr>
              <w:t>耐火时间</w:t>
            </w:r>
          </w:p>
          <w:p>
            <w:pPr>
              <w:jc w:val="center"/>
              <w:rPr>
                <w:sz w:val="25"/>
              </w:rPr>
            </w:pPr>
            <w:r>
              <w:rPr>
                <w:rFonts w:hint="eastAsia"/>
                <w:sz w:val="25"/>
              </w:rPr>
              <w:t>H</w:t>
            </w:r>
          </w:p>
        </w:tc>
        <w:tc>
          <w:tcPr>
            <w:tcW w:w="1214" w:type="dxa"/>
            <w:vAlign w:val="center"/>
          </w:tcPr>
          <w:p>
            <w:pPr>
              <w:jc w:val="center"/>
              <w:rPr>
                <w:rFonts w:hint="eastAsia" w:eastAsiaTheme="minorEastAsia"/>
                <w:sz w:val="25"/>
                <w:lang w:eastAsia="zh-CN"/>
              </w:rPr>
            </w:pPr>
            <w:r>
              <w:rPr>
                <w:rFonts w:hint="eastAsia"/>
                <w:sz w:val="25"/>
                <w:lang w:eastAsia="zh-CN"/>
              </w:rPr>
              <w:t>工程量</w:t>
            </w:r>
          </w:p>
        </w:tc>
        <w:tc>
          <w:tcPr>
            <w:tcW w:w="2839" w:type="dxa"/>
            <w:vAlign w:val="center"/>
          </w:tcPr>
          <w:p>
            <w:pPr>
              <w:jc w:val="center"/>
              <w:rPr>
                <w:rFonts w:hint="eastAsia" w:eastAsiaTheme="minorEastAsia"/>
                <w:sz w:val="25"/>
                <w:lang w:eastAsia="zh-CN"/>
              </w:rPr>
            </w:pPr>
            <w:r>
              <w:rPr>
                <w:rFonts w:hint="eastAsia"/>
                <w:sz w:val="25"/>
                <w:lang w:eastAsia="zh-CN"/>
              </w:rPr>
              <w:t>特征描述</w:t>
            </w:r>
          </w:p>
        </w:tc>
        <w:tc>
          <w:tcPr>
            <w:tcW w:w="2226" w:type="dxa"/>
            <w:vAlign w:val="center"/>
          </w:tcPr>
          <w:p>
            <w:pPr>
              <w:jc w:val="center"/>
              <w:rPr>
                <w:rFonts w:hint="eastAsia" w:eastAsiaTheme="minorEastAsia"/>
                <w:sz w:val="25"/>
                <w:lang w:eastAsia="zh-CN"/>
              </w:rPr>
            </w:pPr>
            <w:r>
              <w:rPr>
                <w:rFonts w:hint="eastAsia"/>
                <w:sz w:val="25"/>
                <w:lang w:eastAsia="zh-CN"/>
              </w:rPr>
              <w:t>最高限价（含税）</w:t>
            </w:r>
          </w:p>
        </w:tc>
        <w:tc>
          <w:tcPr>
            <w:tcW w:w="2170" w:type="dxa"/>
            <w:vAlign w:val="center"/>
          </w:tcPr>
          <w:p>
            <w:pPr>
              <w:jc w:val="center"/>
              <w:rPr>
                <w:rFonts w:hint="eastAsia" w:eastAsiaTheme="minorEastAsia"/>
                <w:sz w:val="25"/>
                <w:lang w:eastAsia="zh-CN"/>
              </w:rPr>
            </w:pPr>
            <w:r>
              <w:rPr>
                <w:rFonts w:hint="eastAsia"/>
                <w:sz w:val="25"/>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43" w:type="dxa"/>
            <w:vAlign w:val="center"/>
          </w:tcPr>
          <w:p>
            <w:pPr>
              <w:jc w:val="center"/>
            </w:pPr>
            <w:r>
              <w:rPr>
                <w:rFonts w:hint="eastAsia"/>
              </w:rPr>
              <w:t>1</w:t>
            </w:r>
          </w:p>
        </w:tc>
        <w:tc>
          <w:tcPr>
            <w:tcW w:w="1972" w:type="dxa"/>
            <w:vAlign w:val="center"/>
          </w:tcPr>
          <w:p>
            <w:pPr>
              <w:jc w:val="center"/>
            </w:pPr>
            <w:r>
              <w:rPr>
                <w:rFonts w:hint="eastAsia"/>
              </w:rPr>
              <w:t>室内（薄型）</w:t>
            </w:r>
          </w:p>
          <w:p>
            <w:pPr>
              <w:jc w:val="center"/>
            </w:pPr>
            <w:r>
              <w:rPr>
                <w:rFonts w:hint="eastAsia"/>
              </w:rPr>
              <w:t>钢结构防火涂料</w:t>
            </w:r>
          </w:p>
        </w:tc>
        <w:tc>
          <w:tcPr>
            <w:tcW w:w="1899" w:type="dxa"/>
            <w:vAlign w:val="center"/>
          </w:tcPr>
          <w:p>
            <w:pPr>
              <w:jc w:val="center"/>
            </w:pPr>
            <w:r>
              <w:rPr>
                <w:rFonts w:hint="eastAsia"/>
              </w:rPr>
              <w:t>钢柱、柱间支撑</w:t>
            </w:r>
          </w:p>
        </w:tc>
        <w:tc>
          <w:tcPr>
            <w:tcW w:w="1107" w:type="dxa"/>
            <w:vAlign w:val="center"/>
          </w:tcPr>
          <w:p>
            <w:pPr>
              <w:jc w:val="center"/>
            </w:pPr>
            <w:r>
              <w:rPr>
                <w:rFonts w:hint="eastAsia"/>
              </w:rPr>
              <w:t>2.5</w:t>
            </w:r>
          </w:p>
        </w:tc>
        <w:tc>
          <w:tcPr>
            <w:tcW w:w="1214" w:type="dxa"/>
            <w:vAlign w:val="center"/>
          </w:tcPr>
          <w:p>
            <w:pPr>
              <w:jc w:val="center"/>
              <w:rPr>
                <w:rFonts w:hint="default" w:eastAsiaTheme="minorEastAsia"/>
                <w:lang w:val="en-US" w:eastAsia="zh-CN"/>
              </w:rPr>
            </w:pPr>
            <w:r>
              <w:rPr>
                <w:rFonts w:hint="eastAsia"/>
                <w:lang w:val="en-US" w:eastAsia="zh-CN"/>
              </w:rPr>
              <w:t>2997.4㎡</w:t>
            </w:r>
          </w:p>
        </w:tc>
        <w:tc>
          <w:tcPr>
            <w:tcW w:w="2839" w:type="dxa"/>
            <w:vAlign w:val="center"/>
          </w:tcPr>
          <w:p>
            <w:pPr>
              <w:jc w:val="center"/>
              <w:rPr>
                <w:rFonts w:hint="default" w:eastAsiaTheme="minorEastAsia"/>
                <w:lang w:val="en-US" w:eastAsia="zh-CN"/>
              </w:rPr>
            </w:pPr>
            <w:r>
              <w:rPr>
                <w:rFonts w:hint="eastAsia"/>
                <w:lang w:val="en-US" w:eastAsia="zh-CN"/>
              </w:rPr>
              <w:t>1、厚度、工艺满足设计文件及《民用建筑钢结构防火构造》（06GS501）相关要求并通过相关检测。</w:t>
            </w:r>
          </w:p>
        </w:tc>
        <w:tc>
          <w:tcPr>
            <w:tcW w:w="2226" w:type="dxa"/>
            <w:vAlign w:val="center"/>
          </w:tcPr>
          <w:p>
            <w:pPr>
              <w:jc w:val="center"/>
              <w:rPr>
                <w:rFonts w:hint="default" w:eastAsiaTheme="minorEastAsia"/>
                <w:lang w:val="en-US" w:eastAsia="zh-CN"/>
              </w:rPr>
            </w:pPr>
            <w:r>
              <w:rPr>
                <w:rFonts w:hint="eastAsia"/>
                <w:lang w:val="en-US" w:eastAsia="zh-CN"/>
              </w:rPr>
              <w:t>95元/㎡</w:t>
            </w:r>
          </w:p>
        </w:tc>
        <w:tc>
          <w:tcPr>
            <w:tcW w:w="2170" w:type="dxa"/>
            <w:vAlign w:val="center"/>
          </w:tcPr>
          <w:p>
            <w:pPr>
              <w:jc w:val="center"/>
              <w:rPr>
                <w:rFonts w:hint="default" w:eastAsiaTheme="minorEastAsia"/>
                <w:lang w:val="en-US" w:eastAsia="zh-CN"/>
              </w:rPr>
            </w:pPr>
            <w:r>
              <w:rPr>
                <w:rFonts w:hint="eastAsia"/>
                <w:lang w:val="en-US" w:eastAsia="zh-CN"/>
              </w:rPr>
              <w:t>1、包含检测费用。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43" w:type="dxa"/>
            <w:vAlign w:val="center"/>
          </w:tcPr>
          <w:p>
            <w:pPr>
              <w:jc w:val="center"/>
            </w:pPr>
            <w:r>
              <w:rPr>
                <w:rFonts w:hint="eastAsia"/>
              </w:rPr>
              <w:t>2</w:t>
            </w:r>
          </w:p>
        </w:tc>
        <w:tc>
          <w:tcPr>
            <w:tcW w:w="1972" w:type="dxa"/>
            <w:vMerge w:val="restart"/>
            <w:vAlign w:val="center"/>
          </w:tcPr>
          <w:p>
            <w:pPr>
              <w:jc w:val="center"/>
            </w:pPr>
            <w:r>
              <w:rPr>
                <w:rFonts w:hint="eastAsia"/>
              </w:rPr>
              <w:t>室内（薄型）</w:t>
            </w:r>
          </w:p>
          <w:p>
            <w:pPr>
              <w:jc w:val="center"/>
            </w:pPr>
            <w:r>
              <w:rPr>
                <w:rFonts w:hint="eastAsia"/>
              </w:rPr>
              <w:t>钢结构防火涂料</w:t>
            </w:r>
          </w:p>
        </w:tc>
        <w:tc>
          <w:tcPr>
            <w:tcW w:w="1899" w:type="dxa"/>
            <w:vAlign w:val="center"/>
          </w:tcPr>
          <w:p>
            <w:pPr>
              <w:jc w:val="center"/>
            </w:pPr>
            <w:r>
              <w:rPr>
                <w:rFonts w:hint="eastAsia"/>
              </w:rPr>
              <w:t>钢梁</w:t>
            </w:r>
          </w:p>
        </w:tc>
        <w:tc>
          <w:tcPr>
            <w:tcW w:w="1107" w:type="dxa"/>
            <w:vAlign w:val="center"/>
          </w:tcPr>
          <w:p>
            <w:pPr>
              <w:jc w:val="center"/>
            </w:pPr>
            <w:r>
              <w:rPr>
                <w:rFonts w:hint="eastAsia"/>
              </w:rPr>
              <w:t>1.5</w:t>
            </w:r>
          </w:p>
        </w:tc>
        <w:tc>
          <w:tcPr>
            <w:tcW w:w="1214" w:type="dxa"/>
            <w:vMerge w:val="restart"/>
            <w:vAlign w:val="center"/>
          </w:tcPr>
          <w:p>
            <w:pPr>
              <w:jc w:val="center"/>
            </w:pPr>
            <w:r>
              <w:rPr>
                <w:rFonts w:hint="eastAsia"/>
                <w:lang w:val="en-US" w:eastAsia="zh-CN"/>
              </w:rPr>
              <w:t>1246.06㎡</w:t>
            </w:r>
          </w:p>
        </w:tc>
        <w:tc>
          <w:tcPr>
            <w:tcW w:w="2839" w:type="dxa"/>
            <w:vMerge w:val="restart"/>
            <w:vAlign w:val="center"/>
          </w:tcPr>
          <w:p>
            <w:pPr>
              <w:jc w:val="center"/>
            </w:pPr>
            <w:r>
              <w:rPr>
                <w:rFonts w:hint="eastAsia"/>
                <w:lang w:val="en-US" w:eastAsia="zh-CN"/>
              </w:rPr>
              <w:t>1、厚度、工艺满足设计文件及《民用建筑钢结构防火构造》（06GS501）相关要求并通过相关检测。</w:t>
            </w:r>
          </w:p>
        </w:tc>
        <w:tc>
          <w:tcPr>
            <w:tcW w:w="2226" w:type="dxa"/>
            <w:vMerge w:val="restart"/>
            <w:vAlign w:val="center"/>
          </w:tcPr>
          <w:p>
            <w:pPr>
              <w:jc w:val="center"/>
              <w:rPr>
                <w:rFonts w:hint="default" w:eastAsiaTheme="minorEastAsia"/>
                <w:lang w:val="en-US" w:eastAsia="zh-CN"/>
              </w:rPr>
            </w:pPr>
            <w:r>
              <w:rPr>
                <w:rFonts w:hint="eastAsia"/>
                <w:lang w:val="en-US" w:eastAsia="zh-CN"/>
              </w:rPr>
              <w:t>72</w:t>
            </w:r>
            <w:bookmarkStart w:id="0" w:name="_GoBack"/>
            <w:bookmarkEnd w:id="0"/>
            <w:r>
              <w:rPr>
                <w:rFonts w:hint="eastAsia"/>
                <w:lang w:val="en-US" w:eastAsia="zh-CN"/>
              </w:rPr>
              <w:t>元/㎡</w:t>
            </w:r>
          </w:p>
        </w:tc>
        <w:tc>
          <w:tcPr>
            <w:tcW w:w="2170" w:type="dxa"/>
            <w:vMerge w:val="restart"/>
            <w:vAlign w:val="center"/>
          </w:tcPr>
          <w:p>
            <w:pPr>
              <w:jc w:val="center"/>
            </w:pPr>
            <w:r>
              <w:rPr>
                <w:rFonts w:hint="eastAsia"/>
                <w:lang w:val="en-US" w:eastAsia="zh-CN"/>
              </w:rPr>
              <w:t>1、包含检测费用。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43" w:type="dxa"/>
            <w:vAlign w:val="center"/>
          </w:tcPr>
          <w:p>
            <w:pPr>
              <w:jc w:val="center"/>
            </w:pPr>
            <w:r>
              <w:rPr>
                <w:rFonts w:hint="eastAsia"/>
              </w:rPr>
              <w:t>3</w:t>
            </w:r>
          </w:p>
        </w:tc>
        <w:tc>
          <w:tcPr>
            <w:tcW w:w="1972" w:type="dxa"/>
            <w:vMerge w:val="continue"/>
            <w:vAlign w:val="center"/>
          </w:tcPr>
          <w:p>
            <w:pPr>
              <w:jc w:val="center"/>
            </w:pPr>
          </w:p>
        </w:tc>
        <w:tc>
          <w:tcPr>
            <w:tcW w:w="1899" w:type="dxa"/>
            <w:vAlign w:val="center"/>
          </w:tcPr>
          <w:p>
            <w:pPr>
              <w:jc w:val="center"/>
            </w:pPr>
            <w:r>
              <w:rPr>
                <w:rFonts w:hint="eastAsia"/>
              </w:rPr>
              <w:t>屋面支撑及刚性系杆</w:t>
            </w:r>
          </w:p>
        </w:tc>
        <w:tc>
          <w:tcPr>
            <w:tcW w:w="1107" w:type="dxa"/>
            <w:vAlign w:val="center"/>
          </w:tcPr>
          <w:p>
            <w:pPr>
              <w:jc w:val="center"/>
            </w:pPr>
            <w:r>
              <w:rPr>
                <w:rFonts w:hint="eastAsia"/>
              </w:rPr>
              <w:t>1.5</w:t>
            </w:r>
          </w:p>
        </w:tc>
        <w:tc>
          <w:tcPr>
            <w:tcW w:w="1214" w:type="dxa"/>
            <w:vMerge w:val="continue"/>
            <w:vAlign w:val="center"/>
          </w:tcPr>
          <w:p>
            <w:pPr>
              <w:jc w:val="center"/>
            </w:pPr>
          </w:p>
        </w:tc>
        <w:tc>
          <w:tcPr>
            <w:tcW w:w="2839" w:type="dxa"/>
            <w:vMerge w:val="continue"/>
            <w:vAlign w:val="center"/>
          </w:tcPr>
          <w:p>
            <w:pPr>
              <w:jc w:val="center"/>
            </w:pPr>
          </w:p>
        </w:tc>
        <w:tc>
          <w:tcPr>
            <w:tcW w:w="2226" w:type="dxa"/>
            <w:vMerge w:val="continue"/>
            <w:vAlign w:val="center"/>
          </w:tcPr>
          <w:p>
            <w:pPr>
              <w:jc w:val="center"/>
            </w:pPr>
          </w:p>
        </w:tc>
        <w:tc>
          <w:tcPr>
            <w:tcW w:w="217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4170" w:type="dxa"/>
            <w:gridSpan w:val="8"/>
            <w:vAlign w:val="center"/>
          </w:tcPr>
          <w:p>
            <w:pPr>
              <w:jc w:val="left"/>
              <w:rPr>
                <w:rFonts w:hint="eastAsia"/>
                <w:lang w:val="en-US" w:eastAsia="zh-CN"/>
              </w:rPr>
            </w:pPr>
            <w:r>
              <w:rPr>
                <w:rFonts w:hint="eastAsia"/>
              </w:rPr>
              <w:t>备注：</w:t>
            </w:r>
            <w:r>
              <w:rPr>
                <w:rFonts w:hint="eastAsia"/>
                <w:lang w:val="en-US" w:eastAsia="zh-CN"/>
              </w:rPr>
              <w:t>1、分包单位应具有消防工程施工资质；</w:t>
            </w:r>
          </w:p>
          <w:p>
            <w:pPr>
              <w:ind w:firstLine="630" w:firstLineChars="300"/>
              <w:jc w:val="left"/>
              <w:rPr>
                <w:rFonts w:hint="eastAsia"/>
              </w:rPr>
            </w:pPr>
            <w:r>
              <w:rPr>
                <w:rFonts w:hint="eastAsia"/>
                <w:lang w:val="en-US" w:eastAsia="zh-CN"/>
              </w:rPr>
              <w:t>2、</w:t>
            </w:r>
            <w:r>
              <w:rPr>
                <w:rFonts w:hint="eastAsia"/>
              </w:rPr>
              <w:t>以上费用包含税金及施工器具机械费用。</w:t>
            </w:r>
          </w:p>
        </w:tc>
      </w:tr>
    </w:tbl>
    <w:p>
      <w:pPr>
        <w:rPr>
          <w:sz w:val="24"/>
          <w:szCs w:val="24"/>
        </w:rPr>
      </w:pPr>
      <w:r>
        <w:rPr>
          <w:rFonts w:hint="eastAsia"/>
          <w:sz w:val="24"/>
          <w:szCs w:val="24"/>
        </w:rPr>
        <w:t xml:space="preserve">   </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707"/>
    <w:rsid w:val="00251087"/>
    <w:rsid w:val="0031517C"/>
    <w:rsid w:val="0059191D"/>
    <w:rsid w:val="00D07167"/>
    <w:rsid w:val="00D078C3"/>
    <w:rsid w:val="00D40707"/>
    <w:rsid w:val="00DB0CAF"/>
    <w:rsid w:val="00F66651"/>
    <w:rsid w:val="22D3496F"/>
    <w:rsid w:val="2EB74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54</Words>
  <Characters>312</Characters>
  <Lines>2</Lines>
  <Paragraphs>1</Paragraphs>
  <TotalTime>17</TotalTime>
  <ScaleCrop>false</ScaleCrop>
  <LinksUpToDate>false</LinksUpToDate>
  <CharactersWithSpaces>365</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2022-05-09T10:16:00Z</dcterms:created>
  <dc:creator>Administrator</dc:creator>
  <cp:lastModifiedBy>贺文超87106</cp:lastModifiedBy>
  <dcterms:modified xsi:type="dcterms:W3CDTF">2022-05-10T02:05:00Z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